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35 vom 22. Januar 2019</w:t>
      </w:r>
    </w:p>
    <w:p>
      <w:r>
        <w:t>GR Gerichte, 2019-01-22, DE</w:t>
      </w:r>
    </w:p>
    <w:p>
      <w:r>
        <w:rPr>
          <w:b/>
        </w:rPr>
        <w:t xml:space="preserve">Quelle: </w:t>
      </w:r>
      <w:r>
        <w:t>https://mcp.opencaselaw.ch/entscheid/gr_gerichte_U 2018 35</w:t>
      </w:r>
    </w:p>
    <w:p>
      <w:r>
        <w:t>FR: GR_GERICHTE U 2018 35 du 22 janvier 2019</w:t>
      </w:r>
    </w:p>
    <w:p>
      <w:r>
        <w:t>IT: GR_GERICHTE U 2018 35 del 22 gennaio 2019</w:t>
      </w:r>
    </w:p>
    <w:p>
      <w:pPr>
        <w:pStyle w:val="Heading2"/>
      </w:pPr>
      <w:r>
        <w:t>Regeste</w:t>
      </w:r>
    </w:p>
    <w:p>
      <w:r>
        <w:t>Anwaltsprüfung | Anwaltsrecht</w:t>
      </w:r>
    </w:p>
    <w:p>
      <w:pPr>
        <w:pStyle w:val="Heading2"/>
      </w:pPr>
      <w:r>
        <w:t>Erwägungen</w:t>
      </w:r>
    </w:p>
    <w:p>
      <w:r>
        <w:rPr>
          <w:b/>
        </w:rPr>
        <w:t>E. 12</w:t>
      </w:r>
    </w:p>
    <w:p>
      <w:r>
        <w:t>April 2011 E.2.4). Es führte in jenen beiden Urteilen wörtlich aus: "E. 3.2. Eine richterliche Instanz überprüft eine materielle Bewertung eines Examens nur mit besonderer Zurückhaltung. Sie schreitet erst ein, wenn sich die Prüfungsbehörde von sachfremden oder sonst wie offensichtlich unhaltbaren Erwägungen hat leiten lassen, so dass deren Entscheid unter rechtsstaatlichen Gesichtspunkten als nicht mehr vertretbar erscheint (BGE 136 I 229 E.5.4.1 S. 237). Ein Beschwerdeführer hat somit darzutun, dass die Bewertung offensichtlich unhaltbar ist oder auf einer krassen Fehleinschätzung be- ruht." "E.2.4. Hat das Bundesgericht auf subsidiäre Verfassungsbeschwerde hin die Bewertung von Prüfungsleistungen zu beurteilen, so prüft es die Handhabung der einschlägigen kan- tonalen Verfahrensvorschriften – auf entsprechende, ordnungsgemässe begründete Rü- gen hin – nur unter dem Gesichtswinkel der Willkür. In erster Linie prüft es dabei, ob das vorgeschriebene Verfahren unter Beachtung der verfassungsrechtlichen Minimalgarantien durchgeführt worden ist. Eine besondere Zurückhaltung auferlegt es sich bei der materi- 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Das Bundesgericht auferlegt sich bei der Überprüfung von Examens- leistungen auch dann Zurückhaltung, wenn es aufgrund seiner Fachkenntnisse sachlich zu einer weitergehenden Überprüfung befähigt wäre (beispielsweise bei Rechtsanwalts- oder Notariatsprüfungen (BGE 136 I 229 E.6.2 S. 238, 131 I 467 E.3.1 S. 473 mit Hinwei- sen 2D_55/2019 vom 1. März 2011 E.1.5; 2D_2/2010 vom 25. Februar 2011 E.3.5; 2D_10/2019 vom 31. Januar 2011 E.3; 2D_53/2009 vom 25. November 2009 E. 1.4)." 3.1.1. Nach Auffassung des Verwaltungsgerichts hat die Beschwerdeführerin im vorliegenden Fall in ihrer relativ unübersichtlich verfassten bzw. materiell nicht leicht überschaubaren Beschwerde keineswegs dargelegt, inwiefern die Bewertung ihrer Prüfungsleistungen offensichtlich unhaltbar sei oder auf einer krassen Fehleinschätzung durch die Vorinstanz beruhe. Sie hat einzig die fehlende Angabe der Gewichtung der Bewertung der Prüfungs- leistungen in den drei Teilaufgaben (hiervor E. 2.8) und die angeblich un- klare Formulierung betreffend 'vollständige Rechtsschriften' gerügt. Hin- sichtlich beider Rügen ist auf das bereits zuvor (unter E. 2.8.1 sowie E. 2.8.2) Gesagte zu verweisen. Die graduelle Gewichtung der einzelnen Prü- fungsteile musste danach eben nicht bereits in der Prüfung angegeben werden, auch wenn sich anhand der Aufgaben (mit Fettdruck) selbstredend eine vorhersehbare stärkere Gewichtung im Gesamtkontext entnehmen</w:t>
      </w:r>
    </w:p>
    <w:p>
      <w:r>
        <w:t>- 27 - liess. Die höhere Einstufung der Prüfungsleistung der Teilaufgabe drei (Verfassen von Rechtsschriften) ist nicht zu beanstanden. Es ging dort darum – wie im Lösungsansatz ausdrücklich aufgeführt – die massgebli- chen Informationen aus dem Sachverhalt herauszufiltern, zu beurteilen und die zweckmässigen Rechtsschriften zu erstellen. Mit der Hervorhebung in der Aufgabenstellung (fett und unterstrichen) durfte die Beschwerdegegne- rin – auch vor dem Hintergrund der Prüfungsdauer von zehn Stunden – alle notwendigen Rechtsschriften in vollständiger Form und Ausgestaltung ver- langen. Vorliegend fehlt es aber an der massgeblichen 'Klageschrift'. 3.1.2. Die von der Beschwerdegegnerin gelieferte Begründung für die tatsächlich erteilte Note 3.0 für die von der Beschwerdeführerin absolvierte schriftliche Anwaltsprüfung ist weder offensichtlich unhaltbar noch beruht sie auf einer offensichtlichen Fehleinschätzung der fallrelevanten Bewertungskriterien. Die Beschwerdeführerin zeigt denn auch bezeichnenderweise nirgends in ihrer Beschwerde stringent auf, wo genau die Beurteilung der Beschwer- degegnerin offensichtlich unhaltbar sein bzw. auf einer willkürlichen Fehl- einschätzung basieren sollte. Einzig die beiden hiervor in E.3.1.1 erwähn- ten Rügen (fehlende Gewichtung sowie Interpretation des Begriffs 'vollstän- dige Rechtsschriften') wurden diesbezüglich von der Beschwerdeführerin vorgebracht und bereits behandelt. Diese Rügen haben sich – wie in E.2.8, 2.8.1 und 2.8.2 erläutert – als unbegründet erwiesen. 3.2. Die Beschwerdeführerin macht schliesslich noch zahlreiche "Willkürrügen" ab Seite 20 ff. ihrer Beschwerde geltend. In diesem Sachzusammenhang hat das Bundesgericht bereits im vorne aufgeführten Urteil 2D_29/2009 in E.2.3 grundsätzlich und richtungsweisend was folgt bestimmt: "E.2.3. Mit der Verfassungsbeschwerde kann ausschliesslich die Verletzung verfassungs- mässiger Rechte gerügt werden (Art. 116 BGG). Das Bundesgericht prüft die Verletzung von Grundrechten nur, soweit eine entsprechende Rüge vorgebracht und begründet wor- den ist. Dabei gilt eine qualifizierte Rügepflicht (Art. 106 Abs. 2 BGG; vgl. BGE 133 II 249 E.1.4.2 S. 254, 396 E.3.1 S. 399). Diese verlangt, dass der Beschwerdeführer in seiner Eingabe dartut, welche verfassungsmässigen Rechte inwiefern durch den angefochtenen</w:t>
      </w:r>
    </w:p>
    <w:p>
      <w:r>
        <w:t>- 28 - Entscheid verletzt worden sind. Das Bundesgericht untersucht deshalb nicht von sich aus, ob der angefochtene kantonale Entscheid verfassungsmässig ist, sondern prüft nur rechts- genügend vorgebrachte, klar erhobene und soweit möglich, belegte Rügen; auf appella- torische Kritik am angefochtenen Entscheid tritt es nicht ein (vgl. BGE 136 II 489 E.2.8 S. 494 mit Hinweisen). Ruft der Beschwerdeführer das Willkürverbot an, muss er dartun, dass und inwiefern der angefochtene Entscheid offensichtlich unhaltbar ist, mit der tatsächli- chen Situation in klarem Widerspruch steht, eine Norm oder einen unumstrittenen Rechts- grundsatz krass verletzt oder in stossender Weise dem Gerechtigkeitsgedanken zuwider- läuft (BGE 133 III 393 E. 6 S. 397). Der Beschwerdeführer soll in der Beschwerdeschrift nicht bloss die Rechtsstandpunkte, die er im kantonalen Verfahren eingenommen hat, er- neut bekräftigen, sondern mit seiner Kritik an den als rechtsfehlerhaft erachteten Erwä- gungen der Vorinstanz ansetzen." 3.2.1. Unter dem Blickwinkel des "Willkürverbots" rügte die Beschwerdeführerin insbesondere eine falsche Anwendung der Notenskala. Sie brachte dazu vor, sie habe bereits von Gesetzes wegen davon ausgehen dürfen, dass ihre Leistung mindestens der Note 3.5 entsprochen hätte. Dazu zieht sie eine selbst erstellte Definition der Note 3.5 bei und errechnet einen Noten- schnitt ihrer Prüfungsleistung der drei Prüfungsteile unter doppelter Ge- wichtung des dritten Prüfungsteils. Sie gibt sich jedoch selbst Noten für die einzelnen Prüfungsteile, wenn auch gestützt auf die Begründung der Be- schwerdegegnerin für die Bewertung ihrer Prüfungsleistung. Die Be- schwerdeführerin machte weiter geltend, dass im Kanton Graubünden je- weils nur maximal ein Drittel der Kandidaten die Anwaltsprüfung bestehe. Die Beschwerdegegnerin habe so stillschweigend einen numerus clausus eingeführt, was gegen Gesetz und gegen das Willkürverbot verstosse. 3.2.1.1.Dieser Betrachtungsweise und Würdigung ist entgegenzuhalten, dass an der Anwaltsprüfung im Kanton Graubünden vermutlich selten alle Kandida- ten durchgefallen sind oder umgekehrt alle Prüfungsteilnehmer bestanden haben. Es liegt in der Natur und im Wesen einer Prüfung bzw. einer solchen anspruchsvollen Berufsprüfung, dass gewisse Kandidaten bestehen und wiederum die Leistung anderer Prüfungskandidaten als ungenügend ein- geschätzt wird. Gemäss Bundesgericht fliesst dabei unvermeidlich auch eine vergleichende Beurteilung aller Kandidaten mit ein (vgl. BGE 121 I 225 E.2c). Statistisch müsste es Prüfungssessionen geben, an denen alle Kan- didaten bestehen oder alle durchfallen. Das würde aber auch für Prüfungen</w:t>
      </w:r>
    </w:p>
    <w:p>
      <w:r>
        <w:t>- 29 - an der Universität, an Fachhochschulen, bei eidgenössischen Berufsprü- fungen, etc. gelten. Dass diese Wahrscheinlichkeit sehr gering ist und al- lenfalls in zig Jahren nie auftreten wird, lässt nicht auf eine willkürliche Be- wertung der Prüfungen schliessen. Dazu müssten mehr Anhaltspunkte vor- handen sein. Dies ist aber vorliegend nicht der Fall. Der angebliche nume- rus clausus (beschränkte Anzahl an Absolventen), wonach in der Regel max. ein Drittel der Kandidaten die Prüfung bestehe, entspricht im Übrigen – gerichtsnotorisch und allgemein bekannt – nicht den Tatsachen in der Vergangenheit. 3.2.2. Die Beschwerdeführerin rügte sodann noch eine Verletzung des Verhält- nismässigkeitsgebots unter dem Titel falsche Anwendung der Notenskala, da der Beschwerdegegnerin bewusst gewesen sei, dass sie zum dritten und letzten Versuch für die Anwaltsprüfung angetreten sei und dies nach einem langen mutterschaftsbedingten Unterbruch. In einem solchen Fall müsse die Gesamtsituation berücksichtigt werden und auch die Prüfungs- leistung sei – wenn die Prüfung schon aus einem schriftlichen und einem mündlichen Teil bestehe – mittels einer Gesamtbewertung zu würdigen. Das Nichtbestehen der (schriftlichen) Prüfung komme einem Berufsausü- bungsverbot gleich und habe für die Beschwerdeführerin, die in der abso- luten Peripherie lebe, massive Folgen. Damit liege eine Verletzung des Verhältnismässigkeitsgebots vor. Die Beschwerdeführerin hätte unter die- sen Umständen zur mündlichen Prüfung zugelassen werden müssen. 3.2.2.1.Auch diese Argumentation der Beschwerdeführerin ist inhaltlich nicht rich- tig oder materiell schützenswert. Es besteht nämlich kein Anspruch auf eine grosszügigere Bewertung der Prüfungsleistung, nur weil man in einer ge- wissen Region der Schweiz bzw. des Kantons Graubünden lebt. Überdies besteht kein Rechtsanspruch auf die Ausübung ganz bestimmter Berufe (als Arzt, Anwalt, Notar usw.). Andernfalls könnten auch Entscheide betref- fend die Zulassung zum Medizinstudium mit demselben Argument ange-</w:t>
      </w:r>
    </w:p>
    <w:p>
      <w:r>
        <w:t>- 30 - fochten und mit entsprechenden Erfolgschancen umgestossen bzw. aufge- hoben werden. 3.3. Zusammengefasst führt die Beschwerdeführerin ihre Rügen betreffend Verletzung des Willkürverbots, des Gebots rechtsgleicher Behandlung und des Verhältnismässigkeitsgebots auf Seite 22 f. in der Beschwerde noch einmal auf, wobei sie abschliessend festhielt, dass einzig das Fehlen der Klageschrift die (ungenügende) Note 3.0 begründet habe. Ansonsten sei ihre Lösung vollständig und korrekt gewesen. 3.3.1. Nach Auffassung des streitberufenen Gerichts ist dem allerdings nicht so. Die Beschwerdegegnerin hat in der Begründung ihrer Prüfungsbewertung (s. informativen/aussagekräftigen Beschluss vom 7./17. Juli 2017) bereits darauf hingewiesen, dass die Beschwerdeführerin auch noch andere Feh- ler in ihrer Prüfungsarbeit begangen habe. Diesem Beschluss (Wiederer- wägungs-/Begründungsentscheid Ziff. 4) kann schon entnommen werden: "4. Für den Fall des Nichteintretens auf das Wiedererwägungsgesuch stellt A._____ den Antrag, es sei der Prüfungsentscheid schriftlich zu begründen sowie der Begründung eine Rechtsmittelbelehrung anzufügen. Diesem Begehren ist in Beachtung des Anspruchs auf rechtliches Gehör nachzukommen: a) Die Prüfungsaufgabe bestand aus einem relativ kurzen und einfachen Sachverhalt und die zu vertretende Person hatte ein klares Ziel (Verbleiben in der gemieteten Woh- nung). Es war demnach leicht erkennbar, dass versucht werden musste, die ausge- sprochene Kündigung wirkungslos zu machen. Die Kandidaten konnten somit die auf der Hand liegenden Überprüfungen vornehmen (Verhältnis der Mietvertragsparteien untereinander, Auswirkungen des Auszugs der Lebenspartner, Ablauf des Kündi- gungsvorgangs, Einhaltung der Fristen etc.). Diesen Teil der Aufgabe hat die Kandi- datin ansprechend, wenn auch mit sehr knappen Ausführungen, gelöst. Unnötig und nicht zielführend – und ohne dass der Sachverhalt diesbezüglich hinreichende An- haltspunkte gegeben hätte – waren die Überlegungen zum missbräuchlichen Mietzins und strafrechtlicher Natur (insbesondere der Tatbestand der sexuellen Handlungen mit Abhängigen). Unzutreffend war die Fristberechnung (S. 9), indem die Kandidatin die Zustellfiktion zur Anwendung brachte, während nach der Praxis die Zustellung der Kündigung bereits als erfolgt gilt, wenn sie in den Machtbereich des Empfängers ge- langt. Richtigerweise kam die Kandidatin aber zum Schluss, dass ein Verfahren um Feststellung der Nichtigkeit der Kündigung anzustreben sei. Das Hauptgewicht der Prüfungsaufgabe lag aber nicht einfach darauf, den richtigen Lösungsweg aufzuzeigen, sondern vielmehr auf der konkreten Umsetzung. In der Auf- gabenstellung wurden denn auch – durch Fettschrift hervorgehoben – die Verfassung der dafür erforderlichen vollständigen Rechtsschriften verlangt. Die AKR wollte sich</w:t>
      </w:r>
    </w:p>
    <w:p>
      <w:r>
        <w:t>- 31 - damit vergewissern, dass die künftigen Anwältinnen und Anwälte imstande sind, eine Rechtsschrift an das zuständige Gericht mit allen notwendigen Elementen (insbeson- dere Parteibezeichnungen, Rechtsbegehren, Tatsachenbehauptungen mit dazugehö- rigen Beweisanträgen) zu formulieren. Dass die Feststellung der Nichtigkeit der Kün- digung nicht einfach mit einem Gesuch an die Schlichtungsbehörde für Mietsachen erreicht werden konnte, lag auf der Hand und wurde auch von den übrigen Kandidaten grundsätzlich richtig erkannt. Unbedingt notwendig war somit die Formulierung der vollständigen Klageschrift an das Regionalgericht B._____. Mit Ausnahme eines knap- pen Gesuchs um Gewährung der unentgeltlichen Rechtspflege hat die Kandidatin keine Rechtsschrift ans Regionalgericht verfasst. Sie hat somit einen wesentlichen Teil der Prüfungsaufgabe nicht erfüllt, was zur Folge hatte, dass sie nicht zur mündli- chen Prüfung zugelassen werden konnte. Die AKR hat die Arbeit mit der Note 3 be- wertet. b) ….. 5. Schliesslich beantragt die Gesuchstellerin Einsicht in die Musterlösung sowie die Zu- stellung der anonymisierten Lösungen der Kandidaten, welche zur mündlichen Prüfung zugelassen wurden. a) Gemäss bundesgerichtlicher Rechtsprechung ist erforderlich, dass die Kandidatin oder der Kandidat die Beurteilung der Prüfungsarbeit nachvollziehen und allenfalls ein Rechtsmittel gegen den Prüfungsentscheid begründen kann (vgl. BGE 121 I 255 E.2.b). Mit der vorstehend angefügten schriftlichen Begründung ist diesem Anspruch Genüge getan. Zwar kann der Vergleich zwischen Prüfungsarbeit und Lösungs- schema im Einzelfall eine wesentliche Grundlage der Bewertung darstellen. Im kon- kreten Fall wurde jedoch - wie unter E.4.a) dargelegt wurde - weniger der Lösungs- vorschlag als solcher, sondern vielmehr das Fehlen der vollständigen Rechtsschriften beanstandet. Damit kommt der Musterlösung lediglich eine untergeordnete Bedeu- tung zu. Selbst eine Prüfungsarbeit nahe an der Musterlösung könnte diesen Mangel nicht wettmachen. Auf die Zustellung der Musterlösung kann demzufolge verzichtet werden." 3.3.2. Wie soeben aufgezeigt, war für die Bewertung der Prüfungsarbeit der Be- schwerdeführerin durch die Beschwerdegegnerin in erster Linie das Fehlen der vollständigen Rechtsschriften ausschlaggebend. Der Musterlösung konnte somit nur untergeordnete Bedeutung zukommen. Vor diesem Hin- tergrund hat die Beschwerdegegnerin die Wertung der Prüfungsleistung der Beschwerdeführerin in den Prüfungsteilen 1 und 2 auch bloss summa- risch begründet, was nicht zu beanstanden ist. Entgegen der Behauptung der Beschwerdeführerin war ihre Prüfungsleistung aber – nebst dem Feh- len der Klage an das Regionalgericht – nicht vollständig und korrekt. In die- sem Sinne hielt die Beschwerdegegnerin zu Recht fest, dass im ersten Teil der Prüfung die Beschwerdeführerin ihre Ausführungen sehr knapp gehal- ten hat und dabei unnötige und nicht zielführende Überlegungen zum miss- bräuchlichen Mietzins und strafrechtlicher Natur getätigt hat, zumal sich</w:t>
      </w:r>
    </w:p>
    <w:p>
      <w:r>
        <w:t>- 32 - solche Ausführungen gerade nicht aus der Aufgabenstellung ergaben. Das Ziel des potentiellen Mandanten war klar, in der Mietwohnung bleiben zu dürfen. Hinzu kommt, dass die Fristberechnung – eine unentbehrliche Grundlage für jeden (angehenden) Anwalt – falsch war. Die Anwendung der Zustellfiktion hatte im vorliegenden Mietrechtsfall nicht das Verpassen einer Frist zur Folge. Trotzdem handelt es sich dabei um einen gravieren- den Fehler. Die Beschwerdegegnerin hat als Hauptbegründung für die (un- genügende) Note 3.0 das Fehlen der Rechtsschrift an das zuständige Ge- richt vorgebracht. Sie hat aber auch auf andere negative Elemente der Prü- fung der Beschwerdeführerin hingewiesen. Infolgedessen kann auch nicht von 'ansonsten vollständiger und korrekter Prüfung' die Rede sein, wie dies die Beschwerdeführerin das streitberufene Gericht hartnäckig und unbeirrt der Fakten glauben machen will. 4.1. Die Beschwerde vom 17. August 2017 samt ergänzender Stellungnahme vom 11. Oktober 2018 sowie (Antwort-) Schreiben vom 28. Oktober 2018 der Beschwerdeführerin sind materiell allesamt unbegründet oder in der strittigen Prüfungsangelegenheit nicht zutreffend, weshalb der angefoch- tene Prüfungsentscheid vom 24. Mai 2017 unter Einbezug des Wiederer- wägungs- und Begründungsentscheides (Beschluss vom 7./17. Juli 2017) rechtens und schützenswert ist. Letztere werden demnach hiermit bestätigt und die dagegen erhobene Beschwerde vollumfänglich abgewiesen. 4.2. Bei diesem Ausgang des Verfahrens sind die Gerichtskosten gestützt auf Art. 73. Abs. 1 des Gesetzes über die Verwaltungsrechtspflege (VRG; BR 370.100) der Beschwerdeführerin aufzuerlegen. 4.3. Eine aussergerichtliche Entschädigung steht der Beschwerdegegnerin nach Art. 78 Abs. 2 VRG nicht zu, da sie in Sachen "Bewertung Anwaltsprü- fung" lediglich in ihrem amtlichen Wirkungskreis obsiegte. Eine Parteien- tschädigung an die unterliegende Beschwerdeführerin entfällt bei diesem</w:t>
      </w:r>
    </w:p>
    <w:p>
      <w:r>
        <w:t>- 33 - Ausgang des Verfahrens, womit vorliegend überhaupt keine aussergericht- lichen (Partei-) Entschädigungen zugesprochen werden.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